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35086" w:rsidRPr="00335086" w:rsidTr="00335086">
        <w:tc>
          <w:tcPr>
            <w:tcW w:w="5211" w:type="dxa"/>
          </w:tcPr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sz w:val="18"/>
                <w:szCs w:val="18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ORDIZIAKO UDALA </w:t>
            </w:r>
          </w:p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b w:val="0"/>
                <w:sz w:val="18"/>
                <w:szCs w:val="18"/>
              </w:rPr>
            </w:pPr>
            <w:proofErr w:type="spellStart"/>
            <w:r w:rsidRPr="00335086">
              <w:rPr>
                <w:rFonts w:ascii="Franklin Gothic Book" w:hAnsi="Franklin Gothic Book" w:cs="Arial"/>
                <w:b w:val="0"/>
                <w:sz w:val="18"/>
                <w:szCs w:val="18"/>
              </w:rPr>
              <w:t>Iragarkia</w:t>
            </w:r>
            <w:proofErr w:type="spellEnd"/>
            <w:r w:rsidRPr="00335086">
              <w:rPr>
                <w:rFonts w:ascii="Franklin Gothic Book" w:hAnsi="Franklin Gothic Book" w:cs="Arial"/>
                <w:b w:val="0"/>
                <w:sz w:val="18"/>
                <w:szCs w:val="18"/>
              </w:rPr>
              <w:t xml:space="preserve"> </w:t>
            </w:r>
          </w:p>
          <w:p w:rsidR="00335086" w:rsidRDefault="00335086" w:rsidP="005A4E72">
            <w:pPr>
              <w:pStyle w:val="Ttulo"/>
              <w:rPr>
                <w:rFonts w:ascii="Franklin Gothic Book" w:hAnsi="Franklin Gothic Book" w:cs="Arial"/>
                <w:i/>
                <w:sz w:val="18"/>
                <w:szCs w:val="18"/>
              </w:rPr>
            </w:pPr>
          </w:p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proofErr w:type="spellStart"/>
            <w:r w:rsidRPr="00335086">
              <w:rPr>
                <w:rFonts w:ascii="Franklin Gothic Book" w:hAnsi="Franklin Gothic Book" w:cs="Arial"/>
                <w:i/>
                <w:sz w:val="18"/>
                <w:szCs w:val="18"/>
              </w:rPr>
              <w:t>Bake</w:t>
            </w:r>
            <w:proofErr w:type="spellEnd"/>
            <w:r w:rsidRPr="00335086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i/>
                <w:sz w:val="18"/>
                <w:szCs w:val="18"/>
              </w:rPr>
              <w:t>epailea</w:t>
            </w:r>
            <w:proofErr w:type="spellEnd"/>
            <w:r w:rsidRPr="00335086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i/>
                <w:sz w:val="18"/>
                <w:szCs w:val="18"/>
              </w:rPr>
              <w:t>izendatzeko</w:t>
            </w:r>
            <w:proofErr w:type="spellEnd"/>
            <w:r w:rsidRPr="00335086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i/>
                <w:sz w:val="18"/>
                <w:szCs w:val="18"/>
              </w:rPr>
              <w:t>deialdia</w:t>
            </w:r>
            <w:proofErr w:type="spellEnd"/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br/>
            </w: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Ordiziako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udalak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jakitera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ematen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duenez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Botere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Judizialeko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Lege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Organikoaren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99tik 103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artikuluetara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Bake-epailee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ekainaren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7ko 3/95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Araudian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ezarritakoaren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arabera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Udal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Osoko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Bilkurari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dagokio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udalerri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honetako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Bake-Epaile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ordezkoa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izendatzea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. </w:t>
            </w: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Edikut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hau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Gipuzkoako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Aldizkari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Ofizialean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argitaratzen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denetik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r w:rsidRPr="00335086">
              <w:rPr>
                <w:rFonts w:ascii="Franklin Gothic Book" w:hAnsi="Franklin Gothic Book" w:cs="Arial"/>
                <w:b/>
                <w:sz w:val="18"/>
                <w:szCs w:val="18"/>
                <w:lang w:val="es-ES_tradnl"/>
              </w:rPr>
              <w:t xml:space="preserve">20 </w:t>
            </w:r>
            <w:proofErr w:type="spellStart"/>
            <w:r w:rsidRPr="00335086">
              <w:rPr>
                <w:rFonts w:ascii="Franklin Gothic Book" w:hAnsi="Franklin Gothic Book" w:cs="Arial"/>
                <w:b/>
                <w:sz w:val="18"/>
                <w:szCs w:val="18"/>
                <w:lang w:val="es-ES_tradnl"/>
              </w:rPr>
              <w:t>egun</w:t>
            </w:r>
            <w:proofErr w:type="spellEnd"/>
            <w:r w:rsidRPr="00335086">
              <w:rPr>
                <w:rFonts w:ascii="Franklin Gothic Book" w:hAnsi="Franklin Gothic Book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b/>
                <w:sz w:val="18"/>
                <w:szCs w:val="18"/>
                <w:lang w:val="es-ES_tradnl"/>
              </w:rPr>
              <w:t>naturalen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epea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zabaltzen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da interesa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dutenek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eranskinean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azaltzen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diren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legeak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jarritako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baldintzak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betetzen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dituztenek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idatziz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Alkatetza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honi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eska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dezaioten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pStyle w:val="Textoindependiente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Udaletxeko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Idazkaritza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espedientea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aztertu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daiteke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beste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datuen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berri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 ere jaso, hala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nola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baldintzak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karguaren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iraupena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ordainsariak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>etab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. </w:t>
            </w:r>
          </w:p>
          <w:p w:rsid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Eskaerak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aurkezteko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epea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amaiturik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Osoko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Bilkurak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eskatu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dutenen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artean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Bake-Epaile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titularra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ordezkoa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aukeratuko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ere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ezarritako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legezko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betebeharrak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betetzen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baditu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eskaerarik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balego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Korporazioaren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Osoko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Bilkurak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modu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askean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aukeratuko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prozeduraren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baldintza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berdinekin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Lehen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Instantziako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Epaileari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jakinaraziko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dio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erabakia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Guztiek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jakin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dezaten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adierazten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da. </w:t>
            </w:r>
          </w:p>
          <w:p w:rsid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Ordizian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2018ko </w:t>
            </w:r>
            <w:proofErr w:type="spellStart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abenduaren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28an. Jose Miguel </w:t>
            </w:r>
            <w:proofErr w:type="spellStart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Santamaria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Eceiza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Alkatea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. </w:t>
            </w:r>
          </w:p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sz w:val="18"/>
                <w:szCs w:val="18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</w:rPr>
              <w:t xml:space="preserve">AYUNTAMÑIENTO DE ORDIZIA </w:t>
            </w:r>
          </w:p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b w:val="0"/>
                <w:sz w:val="18"/>
                <w:szCs w:val="18"/>
              </w:rPr>
            </w:pPr>
            <w:r w:rsidRPr="00335086">
              <w:rPr>
                <w:rFonts w:ascii="Franklin Gothic Book" w:hAnsi="Franklin Gothic Book" w:cs="Arial"/>
                <w:b w:val="0"/>
                <w:sz w:val="18"/>
                <w:szCs w:val="18"/>
              </w:rPr>
              <w:t xml:space="preserve">Anuncio </w:t>
            </w:r>
          </w:p>
          <w:p w:rsidR="00335086" w:rsidRDefault="00335086" w:rsidP="005A4E72">
            <w:pPr>
              <w:pStyle w:val="Ttulo"/>
              <w:rPr>
                <w:rFonts w:ascii="Franklin Gothic Book" w:hAnsi="Franklin Gothic Book" w:cs="Arial"/>
                <w:i/>
                <w:sz w:val="18"/>
                <w:szCs w:val="18"/>
              </w:rPr>
            </w:pPr>
          </w:p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335086">
              <w:rPr>
                <w:rFonts w:ascii="Franklin Gothic Book" w:hAnsi="Franklin Gothic Book" w:cs="Arial"/>
                <w:i/>
                <w:sz w:val="18"/>
                <w:szCs w:val="18"/>
              </w:rPr>
              <w:t>Convocatoria para elección de Juez de Paz</w:t>
            </w:r>
          </w:p>
          <w:p w:rsidR="00335086" w:rsidRPr="00335086" w:rsidRDefault="00335086" w:rsidP="005A4E72">
            <w:pP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El Ayuntamiento de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Ordizia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hace saber que de conformidad con lo dispuesto en los artículos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335086">
                <w:rPr>
                  <w:rFonts w:ascii="Franklin Gothic Book" w:hAnsi="Franklin Gothic Book" w:cs="Arial"/>
                  <w:sz w:val="18"/>
                  <w:szCs w:val="18"/>
                  <w:lang w:val="es-ES_tradnl"/>
                </w:rPr>
                <w:t>99 a</w:t>
              </w:r>
            </w:smartTag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103 de la Ley Orgánica del Poder Judicial y el Reglamento 3/95 de 7 de Junio, de los Jueces de Paz, corresponde al Pleno del Ayuntamiento elegir las personas para ser nombradas Juez de Paz y Juez sustituto de este municipio.</w:t>
            </w: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Se abre un plazo de </w:t>
            </w:r>
            <w:r w:rsidRPr="00335086">
              <w:rPr>
                <w:rFonts w:ascii="Franklin Gothic Book" w:hAnsi="Franklin Gothic Book" w:cs="Arial"/>
                <w:b/>
                <w:sz w:val="18"/>
                <w:szCs w:val="18"/>
                <w:lang w:val="es-ES_tradnl"/>
              </w:rPr>
              <w:t>veinte días naturales</w:t>
            </w: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desde la publicación del presente edicto en el Boletín Oficial de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Gipuzkoa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, para que las personas que estén interesadas, y reúnan las condiciones legales, que se indican en el anexo, lo soliciten por escrito dirigido a esta Alcaldía.</w:t>
            </w: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En la Secretaría del Ayuntamiento puede ser examinado el expediente y recabar la información que se precise en cuanto a requisitos, duración del cargo, remuneración, etc. </w:t>
            </w: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Una vez finalizado el período de presentación de instancias, el Ayuntamiento Pleno elegirá el Juez de Paz titular y el sustituto, de entre aquellos que lo hayan solicitado, siempre que cumplan los requisitos legales establecidos, en caso de no haber solicitudes, el Pleno de la Corporación los elegirá libremente con sujeción a los mismos requisitos de procedimiento, comunicando el acuerdo al Juez de 1ª Instancia e instrucción. </w:t>
            </w: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Lo que se publica para general conocimiento. </w:t>
            </w:r>
          </w:p>
          <w:p w:rsid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5A4E7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En </w:t>
            </w:r>
            <w:proofErr w:type="spellStart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ordizia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a 28 de noviembre de 2018. El Alcalde, José Miguel Santamaría </w:t>
            </w:r>
            <w:proofErr w:type="spellStart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Eceiza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</w:p>
          <w:p w:rsidR="00335086" w:rsidRPr="00335086" w:rsidRDefault="00335086" w:rsidP="005A4E72">
            <w:pPr>
              <w:pStyle w:val="Ttulo"/>
              <w:rPr>
                <w:rFonts w:ascii="Franklin Gothic Book" w:hAnsi="Franklin Gothic Book" w:cs="Arial"/>
                <w:i/>
                <w:sz w:val="18"/>
                <w:szCs w:val="18"/>
              </w:rPr>
            </w:pPr>
          </w:p>
        </w:tc>
      </w:tr>
    </w:tbl>
    <w:p w:rsidR="00335086" w:rsidRDefault="00335086" w:rsidP="00335086">
      <w:pPr>
        <w:jc w:val="center"/>
        <w:rPr>
          <w:lang w:val="es-ES_tradnl"/>
        </w:rPr>
      </w:pPr>
    </w:p>
    <w:p w:rsidR="00335086" w:rsidRDefault="00335086" w:rsidP="00335086">
      <w:pPr>
        <w:jc w:val="center"/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335086" w:rsidRPr="00335086" w:rsidTr="00335086">
        <w:tc>
          <w:tcPr>
            <w:tcW w:w="5070" w:type="dxa"/>
          </w:tcPr>
          <w:p w:rsidR="00335086" w:rsidRPr="00335086" w:rsidRDefault="00335086" w:rsidP="00335086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  <w:lang w:val="en-GB"/>
              </w:rPr>
            </w:pPr>
            <w:r w:rsidRPr="00335086">
              <w:rPr>
                <w:rFonts w:ascii="Franklin Gothic Book" w:hAnsi="Franklin Gothic Book" w:cs="Arial"/>
                <w:b/>
                <w:sz w:val="18"/>
                <w:szCs w:val="18"/>
                <w:lang w:val="en-GB"/>
              </w:rPr>
              <w:t>ERANSKINA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n-GB"/>
              </w:rPr>
            </w:pP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n-GB"/>
              </w:rPr>
            </w:pP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n-GB"/>
              </w:rPr>
            </w:pPr>
            <w:proofErr w:type="gramStart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n-GB"/>
              </w:rPr>
              <w:t>1.-</w:t>
            </w:r>
            <w:proofErr w:type="gramEnd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n-GB"/>
              </w:rPr>
              <w:t xml:space="preserve"> Bake-</w:t>
            </w:r>
            <w:proofErr w:type="spellStart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n-GB"/>
              </w:rPr>
              <w:t>Epaile</w:t>
            </w:r>
            <w:proofErr w:type="spellEnd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n-GB"/>
              </w:rPr>
              <w:t>izateko</w:t>
            </w:r>
            <w:proofErr w:type="spellEnd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n-GB"/>
              </w:rPr>
              <w:t>betebeharrak</w:t>
            </w:r>
            <w:proofErr w:type="spellEnd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n-GB"/>
              </w:rPr>
              <w:t>.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n-GB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Estatu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Espainiarrekoa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adinez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nagusia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izatea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335086">
            <w:pPr>
              <w:ind w:left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Eginkizun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judizialerako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ezgaitu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izatea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fisikoki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sikikoki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ere </w:t>
            </w:r>
          </w:p>
          <w:p w:rsidR="00335086" w:rsidRPr="00335086" w:rsidRDefault="00335086" w:rsidP="00335086">
            <w:pPr>
              <w:ind w:left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Eskubide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zibil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guztien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jabe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izatea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Birgaitasuna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lortzen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den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bitartean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maltzurkeriazko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delituagatik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kondenatua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egotea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335086">
            <w:pPr>
              <w:ind w:left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Askespena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largespena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lortzen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den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bitartean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maltzurkeriazko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delituagatik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auzipetu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errudun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izatea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. 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</w:pPr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 xml:space="preserve">2.- </w:t>
            </w:r>
            <w:proofErr w:type="spellStart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>Gaitasun</w:t>
            </w:r>
            <w:proofErr w:type="spellEnd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>bateragarritasun</w:t>
            </w:r>
            <w:proofErr w:type="spellEnd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>baldintzak</w:t>
            </w:r>
            <w:proofErr w:type="spellEnd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>.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Ez da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inolako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titulazio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berezirik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eskatzen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Bake-Epailearen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betebehar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eginkizunak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betetzeko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adina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gaitasun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baizik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Iharduera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profesional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merkataritzakoak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egiteko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bateragarrtasuna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dute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ere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inolako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motako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aholkularitza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juridikorik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ekartzen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badute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jatorriz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bere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alderdikeriarik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independentzia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ekidin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murrizten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badute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ezta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betebehar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judizialak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betetzea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galerazten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badute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ere.</w:t>
            </w: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Ezingo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alderdi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politiko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sindikatuetakoak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izan,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horien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konturako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lanik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izan,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ezta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herri-hauteskunde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legislatiboetan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parte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hartu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Botere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Judizialeko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kide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gisa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ezta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izaera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judiziala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duten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bilera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publikoetan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parte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hartu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ere. 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</w:pPr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 xml:space="preserve">3.-Eskubide eta </w:t>
            </w:r>
            <w:proofErr w:type="spellStart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>Betebeharren</w:t>
            </w:r>
            <w:proofErr w:type="spellEnd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>inguruan</w:t>
            </w:r>
            <w:proofErr w:type="spellEnd"/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>.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Udalerrian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bizi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beharko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dute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Justiziako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Epaitegi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Gorenak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arrazoi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sendoengatik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beste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herri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batean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bizitzea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baimentzen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badu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izan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. </w:t>
            </w: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Epaileak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finkatuko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entzunaldiak</w:t>
            </w:r>
            <w:proofErr w:type="spellEnd"/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Bere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aginteak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irauten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duen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bitartean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kenezina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izango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da.</w:t>
            </w: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Bere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karguagatik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ezagutzen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dituen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ekintza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berriak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gordetzera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behartua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dago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ind w:left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Legez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dagozkien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gaitasuneko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prozesuen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orden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zibil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penala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ezagutuko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dute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335086">
            <w:pPr>
              <w:ind w:left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Erregistro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Zibileko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eginkizunak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beteko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ditu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legeak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ezartzen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dizkien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beste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batzuk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Epaile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kargua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4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urterako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da.</w:t>
            </w: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Legez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ezarritako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sistema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kopuruekin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ordainduko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zaie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335086">
            <w:pPr>
              <w:ind w:left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Bere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eginkizunak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burutzerakoan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delituak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falta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kalte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galerak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matzurkeriaz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erruaz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egiten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badituzte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erantzukizun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zibil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edo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penalarenpean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egogo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dira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.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Legean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aurrikuditako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lizentzia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baimenak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izango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dituzte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bere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karguaren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izaeragatik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profesionaltasun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ezagatik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eratorritakoetan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izan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ezik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. </w:t>
            </w:r>
          </w:p>
          <w:p w:rsidR="00335086" w:rsidRPr="00335086" w:rsidRDefault="00335086" w:rsidP="00335086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</w:tc>
        <w:tc>
          <w:tcPr>
            <w:tcW w:w="5244" w:type="dxa"/>
          </w:tcPr>
          <w:p w:rsidR="00335086" w:rsidRPr="00335086" w:rsidRDefault="00335086" w:rsidP="00335086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lastRenderedPageBreak/>
              <w:t>ANEXO</w:t>
            </w:r>
          </w:p>
          <w:p w:rsidR="00335086" w:rsidRPr="00335086" w:rsidRDefault="00335086" w:rsidP="00335086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</w:pPr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 xml:space="preserve">1.- Requisitos para ser Juez de Paz. 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Ser español/a y mayor de edad. </w:t>
            </w:r>
          </w:p>
          <w:p w:rsidR="00335086" w:rsidRPr="00335086" w:rsidRDefault="00335086" w:rsidP="00335086">
            <w:pPr>
              <w:ind w:left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No estar incapacitado/a física ni psíquicamente para la función judicial.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Estar en el pleno ejercicio de los derechos civiles.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No estar condenado/a por delito doloso mientras no se obtenga la rehabilitación.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No estar procesado/a  </w:t>
            </w:r>
            <w:proofErr w:type="spellStart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ó</w:t>
            </w:r>
            <w:proofErr w:type="spellEnd"/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 inculpado/a por delito doloso en tanto no se obtenga la absolución o el sobreseimiento. </w:t>
            </w:r>
          </w:p>
          <w:p w:rsidR="00335086" w:rsidRPr="00335086" w:rsidRDefault="00335086" w:rsidP="00335086">
            <w:pP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</w:pPr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>2.- Condiciones de capacidad y compatibilidad.</w:t>
            </w:r>
          </w:p>
          <w:p w:rsidR="00335086" w:rsidRPr="00335086" w:rsidRDefault="00335086" w:rsidP="00335086">
            <w:pPr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2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No se exige titulación específica alguna, sino capacidad suficiente para el cumplimiento de las obligaciones y funciones de Juez de Paz. </w:t>
            </w: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2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Tienen compatibilidad para el ejercicio de actividades profesionales o mercantiles siempre que no impliquen asesoramiento jurídico de ningún tipo y que, por su naturaleza, no sean susceptibles de impedir o menoscabar su imparcialidad e independencia ni puedan interferir en el estricto cumplimiento de los deberes judiciales. 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2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No podrán pertenecer a partidos políticos o sindicatos, o tener empleo al servicio de los mismos, ni participar en las elecciones legislativas o locales ni participar como miembros del Poder Judicial en ningún acto o reunión pública que no tenga carácter judicial. 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</w:pPr>
            <w:r w:rsidRPr="00335086">
              <w:rPr>
                <w:rFonts w:ascii="Franklin Gothic Book" w:hAnsi="Franklin Gothic Book" w:cs="Arial"/>
                <w:b/>
                <w:i/>
                <w:sz w:val="18"/>
                <w:szCs w:val="18"/>
                <w:u w:val="single"/>
                <w:lang w:val="es-ES_tradnl"/>
              </w:rPr>
              <w:t xml:space="preserve">3.- De los Derechos y Deberes. </w:t>
            </w:r>
          </w:p>
          <w:p w:rsidR="00335086" w:rsidRPr="00335086" w:rsidRDefault="00335086" w:rsidP="00335086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Deberán residir en el municipio, salvo que por razones justificadas el Tribunal Superior de Justicia autorice la residencia en municipio distinto.</w:t>
            </w: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El Juez fijará las horas de audiencia.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Gozará de inamovilidad durante el tiempo que dure su mandato.</w:t>
            </w: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Están obligados a guardar reserva sobre los hechos o noticias que conozcan por razón de su cargo.</w:t>
            </w:r>
          </w:p>
          <w:p w:rsidR="00335086" w:rsidRPr="00335086" w:rsidRDefault="00335086" w:rsidP="00335086">
            <w:pPr>
              <w:ind w:left="360"/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Conocerán en el orden civil y penal de los procesos cuya competencia corresponda por Ley.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Cumplirán funciones de Registro Civil y las demás que las leyes les atribuya. 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El cargo de juez es por cuatros años.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Serán retribuidos por el sistema y la cuantía que lealmente esté establecida.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Están sujetos a responsabilidad penal y civil cuando en el ejercicio de sus funciones comentan delitos y faltas o daños y perjuicios con dolo  o culpa, respectivamente.</w:t>
            </w:r>
          </w:p>
          <w:p w:rsidR="00335086" w:rsidRPr="00335086" w:rsidRDefault="00335086" w:rsidP="00335086">
            <w:pPr>
              <w:pStyle w:val="Prrafodelista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335086" w:rsidRPr="00335086" w:rsidRDefault="00335086" w:rsidP="00335086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335086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 xml:space="preserve">Están sujetos al régimen de licencias y permisos previstos en la Ley con las excepciones que se deriven de la naturaleza de su cargo y de su carácter no profesional. </w:t>
            </w:r>
          </w:p>
          <w:p w:rsidR="00335086" w:rsidRPr="00335086" w:rsidRDefault="00335086" w:rsidP="00335086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</w:tc>
      </w:tr>
    </w:tbl>
    <w:p w:rsidR="00335086" w:rsidRPr="00374E0E" w:rsidRDefault="00335086" w:rsidP="00335086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335086" w:rsidRDefault="00335086" w:rsidP="00335086">
      <w:pPr>
        <w:jc w:val="center"/>
        <w:rPr>
          <w:lang w:val="es-ES_tradnl"/>
        </w:rPr>
      </w:pPr>
      <w:bookmarkStart w:id="0" w:name="_GoBack"/>
      <w:bookmarkEnd w:id="0"/>
    </w:p>
    <w:p w:rsidR="00335086" w:rsidRDefault="00335086" w:rsidP="00335086">
      <w:pPr>
        <w:jc w:val="center"/>
        <w:rPr>
          <w:lang w:val="es-ES_tradnl"/>
        </w:rPr>
      </w:pPr>
    </w:p>
    <w:p w:rsidR="00B2296A" w:rsidRDefault="00B2296A"/>
    <w:sectPr w:rsidR="00B2296A" w:rsidSect="00335086">
      <w:pgSz w:w="11906" w:h="16838"/>
      <w:pgMar w:top="147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00C"/>
    <w:multiLevelType w:val="singleLevel"/>
    <w:tmpl w:val="A808B3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985518"/>
    <w:multiLevelType w:val="singleLevel"/>
    <w:tmpl w:val="A808B3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D03B29"/>
    <w:multiLevelType w:val="singleLevel"/>
    <w:tmpl w:val="A808B3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8E4DC9"/>
    <w:multiLevelType w:val="singleLevel"/>
    <w:tmpl w:val="A808B3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86"/>
    <w:rsid w:val="00145E2D"/>
    <w:rsid w:val="00335086"/>
    <w:rsid w:val="00A57C29"/>
    <w:rsid w:val="00B2296A"/>
    <w:rsid w:val="00F12562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7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7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7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7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7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A57C29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335086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508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3508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3508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3350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50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7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7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7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7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7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A57C29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335086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508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3508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3508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3350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50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1054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USERID</cp:lastModifiedBy>
  <cp:revision>2</cp:revision>
  <dcterms:created xsi:type="dcterms:W3CDTF">2018-12-13T10:45:00Z</dcterms:created>
  <dcterms:modified xsi:type="dcterms:W3CDTF">2018-12-13T10:54:00Z</dcterms:modified>
</cp:coreProperties>
</file>